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627F" w14:textId="77777777" w:rsidR="00A81E1B" w:rsidRPr="002652BD" w:rsidRDefault="00A81E1B" w:rsidP="002652BD">
      <w:pPr>
        <w:pStyle w:val="Coverpageannexnumber"/>
        <w:spacing w:after="160"/>
      </w:pPr>
      <w:r>
        <w:t>ANEXO XIX</w:t>
      </w:r>
    </w:p>
    <w:p w14:paraId="177C64E5" w14:textId="77777777" w:rsidR="00A81E1B" w:rsidRPr="00F6102C" w:rsidRDefault="00A81E1B" w:rsidP="00F6102C">
      <w:pPr>
        <w:pStyle w:val="Coverpageannexreftitle"/>
        <w:spacing w:after="160"/>
        <w:rPr>
          <w:rFonts w:eastAsia="SimSun"/>
          <w:b/>
          <w:kern w:val="2"/>
          <w14:ligatures w14:val="standardContextual"/>
        </w:rPr>
      </w:pPr>
      <w:r>
        <w:rPr>
          <w:b/>
        </w:rPr>
        <w:t>REFERIDO NO ARTIGO 15.8</w:t>
      </w:r>
    </w:p>
    <w:p w14:paraId="5B62267C" w14:textId="77777777" w:rsidR="00A81E1B" w:rsidRPr="00F6102C" w:rsidRDefault="00A81E1B" w:rsidP="00F6102C">
      <w:pPr>
        <w:pStyle w:val="Coverpageannexreftitle"/>
        <w:spacing w:after="160"/>
        <w:rPr>
          <w:rFonts w:eastAsia="SimSun"/>
          <w:b/>
          <w:kern w:val="2"/>
          <w14:ligatures w14:val="standardContextual"/>
        </w:rPr>
      </w:pPr>
      <w:r>
        <w:rPr>
          <w:b/>
        </w:rPr>
        <w:t>REGRAS DE PROCEDIMENTO</w:t>
      </w:r>
    </w:p>
    <w:p w14:paraId="5F6B5649" w14:textId="77777777" w:rsidR="00A81E1B" w:rsidRDefault="00A81E1B" w:rsidP="00A81E1B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14:paraId="7577BB68" w14:textId="77777777" w:rsidR="002735D5" w:rsidRPr="007526CD" w:rsidRDefault="002735D5" w:rsidP="00A81E1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8550EF6" w14:textId="77777777" w:rsidR="002735D5" w:rsidRPr="007526CD" w:rsidRDefault="002735D5" w:rsidP="00A81E1B">
      <w:pPr>
        <w:rPr>
          <w:rFonts w:ascii="Times New Roman" w:hAnsi="Times New Roman" w:cs="Times New Roman"/>
          <w:color w:val="000000"/>
          <w:sz w:val="24"/>
          <w:szCs w:val="24"/>
        </w:rPr>
        <w:sectPr w:rsidR="002735D5" w:rsidRPr="007526CD" w:rsidSect="002735D5">
          <w:pgSz w:w="11906" w:h="16838"/>
          <w:pgMar w:top="1418" w:right="1701" w:bottom="1418" w:left="1701" w:header="708" w:footer="708" w:gutter="0"/>
          <w:cols w:space="708"/>
          <w:docGrid w:linePitch="360"/>
        </w:sectPr>
      </w:pPr>
    </w:p>
    <w:p w14:paraId="33DA164C" w14:textId="77777777" w:rsidR="00A81E1B" w:rsidRPr="00571170" w:rsidRDefault="00A81E1B" w:rsidP="00571170">
      <w:pPr>
        <w:pStyle w:val="FTAchaptertitle"/>
        <w:rPr>
          <w:rFonts w:eastAsiaTheme="minorHAnsi"/>
          <w:b w:val="0"/>
          <w:u w:val="single"/>
        </w:rPr>
      </w:pPr>
      <w:r>
        <w:rPr>
          <w:b w:val="0"/>
          <w:u w:val="single"/>
        </w:rPr>
        <w:lastRenderedPageBreak/>
        <w:t>ANEXO XIX</w:t>
      </w:r>
    </w:p>
    <w:p w14:paraId="2BFDF8C6" w14:textId="77777777" w:rsidR="00A81E1B" w:rsidRPr="00571170" w:rsidRDefault="00A81E1B" w:rsidP="00571170">
      <w:pPr>
        <w:pStyle w:val="FTAchaptertitle"/>
        <w:rPr>
          <w:rFonts w:eastAsiaTheme="minorHAnsi"/>
          <w:b w:val="0"/>
          <w:u w:val="single"/>
        </w:rPr>
      </w:pPr>
      <w:r>
        <w:rPr>
          <w:b w:val="0"/>
          <w:u w:val="single"/>
        </w:rPr>
        <w:t>REFERIDO NO ARTIGO 15.8</w:t>
      </w:r>
    </w:p>
    <w:p w14:paraId="590EA070" w14:textId="77777777" w:rsidR="00A81E1B" w:rsidRPr="00571170" w:rsidRDefault="00A81E1B" w:rsidP="00571170">
      <w:pPr>
        <w:pStyle w:val="FTAchaptertitle"/>
        <w:rPr>
          <w:rFonts w:eastAsiaTheme="minorHAnsi"/>
          <w:b w:val="0"/>
          <w:u w:val="single"/>
        </w:rPr>
      </w:pPr>
      <w:r>
        <w:rPr>
          <w:b w:val="0"/>
          <w:u w:val="single"/>
        </w:rPr>
        <w:t>REGRAS DE PROCEDIMENTO</w:t>
      </w:r>
    </w:p>
    <w:p w14:paraId="56CAE4A6" w14:textId="68D647B2" w:rsidR="00A81E1B" w:rsidRPr="004C073A" w:rsidRDefault="00A81E1B" w:rsidP="004C073A">
      <w:pPr>
        <w:pStyle w:val="FTAarticlenumber"/>
        <w:rPr>
          <w:rFonts w:cs="Times New Roman"/>
          <w:szCs w:val="24"/>
        </w:rPr>
      </w:pPr>
      <w:r>
        <w:t>Artigo 1</w:t>
      </w:r>
      <w:r w:rsidR="009502DD">
        <w:t>º</w:t>
      </w:r>
    </w:p>
    <w:p w14:paraId="1F3759C5" w14:textId="77777777" w:rsidR="00A81E1B" w:rsidRPr="00C465C1" w:rsidRDefault="00A81E1B" w:rsidP="00A81E1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</w:rPr>
        <w:t>Procedimentos do Painel de Arbitragem</w:t>
      </w:r>
    </w:p>
    <w:p w14:paraId="03A35212" w14:textId="2B059E17" w:rsidR="00A81E1B" w:rsidRPr="00EA0B16" w:rsidRDefault="00A81E1B" w:rsidP="00A81E1B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  <w:t xml:space="preserve"> Uma Parte que aleg</w:t>
      </w:r>
      <w:r w:rsidR="00F30FC3">
        <w:rPr>
          <w:rFonts w:ascii="Times New Roman" w:hAnsi="Times New Roman"/>
          <w:sz w:val="24"/>
        </w:rPr>
        <w:t>ar</w:t>
      </w:r>
      <w:r>
        <w:rPr>
          <w:rFonts w:ascii="Times New Roman" w:hAnsi="Times New Roman"/>
          <w:sz w:val="24"/>
        </w:rPr>
        <w:t xml:space="preserve"> que uma medida de outra Parte </w:t>
      </w:r>
      <w:r w:rsidR="00F30FC3">
        <w:rPr>
          <w:rFonts w:ascii="Times New Roman" w:hAnsi="Times New Roman"/>
          <w:sz w:val="24"/>
        </w:rPr>
        <w:t xml:space="preserve">for </w:t>
      </w:r>
      <w:r>
        <w:rPr>
          <w:rFonts w:ascii="Times New Roman" w:hAnsi="Times New Roman"/>
          <w:sz w:val="24"/>
        </w:rPr>
        <w:t>incompatível com o Acordo terá o ônus de provar tal incompatibilidade. A Parte que alegar que uma medida está sujeita a uma exceção nos termos do Acordo terá o ônus de provar que a exceção se aplica.</w:t>
      </w:r>
    </w:p>
    <w:p w14:paraId="537DF2EC" w14:textId="307CA6EF" w:rsidR="00A81E1B" w:rsidRPr="00EA0B16" w:rsidRDefault="00A81E1B" w:rsidP="00A81E1B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>As partes envolvidas na disputa terão oportunidade</w:t>
      </w:r>
      <w:r w:rsidR="0093279D">
        <w:rPr>
          <w:rFonts w:ascii="Times New Roman" w:hAnsi="Times New Roman"/>
          <w:sz w:val="24"/>
        </w:rPr>
        <w:t xml:space="preserve"> igual</w:t>
      </w:r>
      <w:r>
        <w:rPr>
          <w:rFonts w:ascii="Times New Roman" w:hAnsi="Times New Roman"/>
          <w:sz w:val="24"/>
        </w:rPr>
        <w:t xml:space="preserve"> de apresentar </w:t>
      </w:r>
      <w:r w:rsidR="0093279D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 xml:space="preserve">o menos uma </w:t>
      </w:r>
      <w:r w:rsidR="0093279D">
        <w:rPr>
          <w:rFonts w:ascii="Times New Roman" w:hAnsi="Times New Roman"/>
          <w:sz w:val="24"/>
        </w:rPr>
        <w:t xml:space="preserve">petição </w:t>
      </w:r>
      <w:r>
        <w:rPr>
          <w:rFonts w:ascii="Times New Roman" w:hAnsi="Times New Roman"/>
          <w:sz w:val="24"/>
        </w:rPr>
        <w:t xml:space="preserve">por escrito e de assistir a </w:t>
      </w:r>
      <w:r w:rsidR="0093279D">
        <w:rPr>
          <w:rFonts w:ascii="Times New Roman" w:hAnsi="Times New Roman"/>
          <w:sz w:val="24"/>
        </w:rPr>
        <w:t>todas as</w:t>
      </w:r>
      <w:r>
        <w:rPr>
          <w:rFonts w:ascii="Times New Roman" w:hAnsi="Times New Roman"/>
          <w:sz w:val="24"/>
        </w:rPr>
        <w:t xml:space="preserve"> apresentações, declarações ou refutações no âmbito do </w:t>
      </w:r>
      <w:r w:rsidR="0093279D">
        <w:rPr>
          <w:rFonts w:ascii="Times New Roman" w:hAnsi="Times New Roman"/>
          <w:sz w:val="24"/>
        </w:rPr>
        <w:t>procedimento</w:t>
      </w:r>
      <w:r>
        <w:rPr>
          <w:rFonts w:ascii="Times New Roman" w:hAnsi="Times New Roman"/>
          <w:sz w:val="24"/>
        </w:rPr>
        <w:t xml:space="preserve">. Todas as informações ou </w:t>
      </w:r>
      <w:r w:rsidR="0093279D">
        <w:rPr>
          <w:rFonts w:ascii="Times New Roman" w:hAnsi="Times New Roman"/>
          <w:sz w:val="24"/>
        </w:rPr>
        <w:t xml:space="preserve">petições </w:t>
      </w:r>
      <w:r>
        <w:rPr>
          <w:rFonts w:ascii="Times New Roman" w:hAnsi="Times New Roman"/>
          <w:sz w:val="24"/>
        </w:rPr>
        <w:t xml:space="preserve">escritas apresentadas por uma parte </w:t>
      </w:r>
      <w:r w:rsidR="0093279D">
        <w:rPr>
          <w:rFonts w:ascii="Times New Roman" w:hAnsi="Times New Roman"/>
          <w:sz w:val="24"/>
        </w:rPr>
        <w:t>na controvérsia</w:t>
      </w:r>
      <w:r>
        <w:rPr>
          <w:rFonts w:ascii="Times New Roman" w:hAnsi="Times New Roman"/>
          <w:sz w:val="24"/>
        </w:rPr>
        <w:t xml:space="preserve"> ao painel de arbitragem, incluindo quaisquer comentários sobre o relatório provisório e respostas às perguntas do painel de arbitragem, ser</w:t>
      </w:r>
      <w:r w:rsidR="00F30FC3">
        <w:rPr>
          <w:rFonts w:ascii="Times New Roman" w:hAnsi="Times New Roman"/>
          <w:sz w:val="24"/>
        </w:rPr>
        <w:t>ão</w:t>
      </w:r>
      <w:r>
        <w:rPr>
          <w:rFonts w:ascii="Times New Roman" w:hAnsi="Times New Roman"/>
          <w:sz w:val="24"/>
        </w:rPr>
        <w:t xml:space="preserve"> disponibilizadas à outra parte no litígio. </w:t>
      </w:r>
    </w:p>
    <w:p w14:paraId="39F3A65F" w14:textId="73966E65" w:rsidR="00A81E1B" w:rsidRPr="00EA0B16" w:rsidRDefault="00A81E1B" w:rsidP="00A81E1B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ab/>
        <w:t xml:space="preserve">O painel de arbitragem </w:t>
      </w:r>
      <w:r w:rsidR="00ED7263">
        <w:rPr>
          <w:rFonts w:ascii="Times New Roman" w:hAnsi="Times New Roman"/>
          <w:sz w:val="24"/>
        </w:rPr>
        <w:t>consultará</w:t>
      </w:r>
      <w:r>
        <w:rPr>
          <w:rFonts w:ascii="Times New Roman" w:hAnsi="Times New Roman"/>
          <w:sz w:val="24"/>
        </w:rPr>
        <w:t xml:space="preserve"> as partes </w:t>
      </w:r>
      <w:r w:rsidR="0093279D">
        <w:rPr>
          <w:rFonts w:ascii="Times New Roman" w:hAnsi="Times New Roman"/>
          <w:sz w:val="24"/>
        </w:rPr>
        <w:t>na controvérsia</w:t>
      </w:r>
      <w:r>
        <w:rPr>
          <w:rFonts w:ascii="Times New Roman" w:hAnsi="Times New Roman"/>
          <w:sz w:val="24"/>
        </w:rPr>
        <w:t>, conforme apropriado, e proporcionar oportunidades adequadas para o desenvolvimento de uma solução mutuamente satisfatória.</w:t>
      </w:r>
    </w:p>
    <w:p w14:paraId="325341EC" w14:textId="0C7C51B0" w:rsidR="00A81E1B" w:rsidRPr="00EA0B16" w:rsidRDefault="00A81E1B" w:rsidP="00EA0B16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>4.</w:t>
      </w:r>
      <w:r>
        <w:rPr>
          <w:rFonts w:ascii="Times New Roman" w:hAnsi="Times New Roman"/>
          <w:sz w:val="24"/>
        </w:rPr>
        <w:tab/>
        <w:t>A pedido de uma das partes n</w:t>
      </w:r>
      <w:r w:rsidR="0093279D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 w:rsidR="0093279D">
        <w:rPr>
          <w:rFonts w:ascii="Times New Roman" w:hAnsi="Times New Roman"/>
          <w:sz w:val="24"/>
        </w:rPr>
        <w:t>controvérsia</w:t>
      </w:r>
      <w:r>
        <w:rPr>
          <w:rFonts w:ascii="Times New Roman" w:hAnsi="Times New Roman"/>
          <w:sz w:val="24"/>
        </w:rPr>
        <w:t>, ou por sua própria iniciativa, o painel de arbitragem pode</w:t>
      </w:r>
      <w:r w:rsidR="0093279D">
        <w:rPr>
          <w:rFonts w:ascii="Times New Roman" w:hAnsi="Times New Roman"/>
          <w:sz w:val="24"/>
        </w:rPr>
        <w:t>rá</w:t>
      </w:r>
      <w:r>
        <w:rPr>
          <w:rFonts w:ascii="Times New Roman" w:hAnsi="Times New Roman"/>
          <w:sz w:val="24"/>
        </w:rPr>
        <w:t xml:space="preserve"> solicitar o parecer de peritos, conforme considere apropriado. O painel de arbitragem consultará as partes </w:t>
      </w:r>
      <w:r w:rsidR="00B74116">
        <w:rPr>
          <w:rFonts w:ascii="Times New Roman" w:hAnsi="Times New Roman"/>
          <w:sz w:val="24"/>
        </w:rPr>
        <w:t xml:space="preserve">na </w:t>
      </w:r>
      <w:r w:rsidR="0093279D">
        <w:rPr>
          <w:rFonts w:ascii="Times New Roman" w:hAnsi="Times New Roman"/>
          <w:sz w:val="24"/>
        </w:rPr>
        <w:t>controvérsia</w:t>
      </w:r>
      <w:r>
        <w:rPr>
          <w:rFonts w:ascii="Times New Roman" w:hAnsi="Times New Roman"/>
          <w:sz w:val="24"/>
        </w:rPr>
        <w:t xml:space="preserve"> antes de selecionar </w:t>
      </w:r>
      <w:r w:rsidR="0093279D">
        <w:rPr>
          <w:rFonts w:ascii="Times New Roman" w:hAnsi="Times New Roman"/>
          <w:sz w:val="24"/>
        </w:rPr>
        <w:t xml:space="preserve">tais </w:t>
      </w:r>
      <w:r>
        <w:rPr>
          <w:rFonts w:ascii="Times New Roman" w:hAnsi="Times New Roman"/>
          <w:sz w:val="24"/>
        </w:rPr>
        <w:t xml:space="preserve">peritos. Qualquer informação obtida dessa forma será divulgada às partes envolvidas na disputa e submetida a elas para comentários. </w:t>
      </w:r>
      <w:r w:rsidR="00B74116">
        <w:rPr>
          <w:rFonts w:ascii="Times New Roman" w:hAnsi="Times New Roman"/>
          <w:sz w:val="24"/>
        </w:rPr>
        <w:t>Os pareceres dos peritos</w:t>
      </w:r>
      <w:r>
        <w:rPr>
          <w:rFonts w:ascii="Times New Roman" w:hAnsi="Times New Roman"/>
          <w:sz w:val="24"/>
        </w:rPr>
        <w:t xml:space="preserve">, bem como as informações obtidas de qualquer fonte relevante, não </w:t>
      </w:r>
      <w:r w:rsidR="00F30FC3">
        <w:rPr>
          <w:rFonts w:ascii="Times New Roman" w:hAnsi="Times New Roman"/>
          <w:sz w:val="24"/>
        </w:rPr>
        <w:t xml:space="preserve">vincularão </w:t>
      </w:r>
      <w:r>
        <w:rPr>
          <w:rFonts w:ascii="Times New Roman" w:hAnsi="Times New Roman"/>
          <w:sz w:val="24"/>
        </w:rPr>
        <w:t>o painel de arbitragem.</w:t>
      </w:r>
    </w:p>
    <w:p w14:paraId="26DB2C24" w14:textId="6E80821B" w:rsidR="00A81E1B" w:rsidRPr="004C073A" w:rsidRDefault="00A81E1B" w:rsidP="004C073A">
      <w:pPr>
        <w:pStyle w:val="FTAarticlenumber"/>
        <w:rPr>
          <w:rFonts w:cs="Times New Roman"/>
          <w:szCs w:val="24"/>
        </w:rPr>
      </w:pPr>
      <w:r>
        <w:t>Artigo 2</w:t>
      </w:r>
      <w:r w:rsidR="009502DD">
        <w:t>º</w:t>
      </w:r>
    </w:p>
    <w:p w14:paraId="49D2CF59" w14:textId="47E58710" w:rsidR="00A81E1B" w:rsidRPr="00164DA8" w:rsidRDefault="00B74116" w:rsidP="00164DA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</w:rPr>
        <w:t xml:space="preserve">Idioma </w:t>
      </w:r>
      <w:r w:rsidR="00A81E1B">
        <w:rPr>
          <w:rFonts w:ascii="Times New Roman" w:hAnsi="Times New Roman"/>
          <w:b/>
          <w:i/>
          <w:sz w:val="24"/>
        </w:rPr>
        <w:t xml:space="preserve">dos </w:t>
      </w:r>
      <w:r w:rsidR="00F30FC3">
        <w:rPr>
          <w:rFonts w:ascii="Times New Roman" w:hAnsi="Times New Roman"/>
          <w:b/>
          <w:i/>
          <w:sz w:val="24"/>
        </w:rPr>
        <w:t>T</w:t>
      </w:r>
      <w:r w:rsidR="00A81E1B">
        <w:rPr>
          <w:rFonts w:ascii="Times New Roman" w:hAnsi="Times New Roman"/>
          <w:b/>
          <w:i/>
          <w:sz w:val="24"/>
        </w:rPr>
        <w:t xml:space="preserve">rabalhos </w:t>
      </w:r>
    </w:p>
    <w:p w14:paraId="6036CA5B" w14:textId="51D81C0C" w:rsidR="00A81E1B" w:rsidRPr="00C465C1" w:rsidRDefault="00A81E1B" w:rsidP="00A81E1B">
      <w:pPr>
        <w:pStyle w:val="Default"/>
        <w:ind w:firstLine="709"/>
        <w:jc w:val="both"/>
      </w:pPr>
      <w:r>
        <w:t xml:space="preserve">A menos que as partes </w:t>
      </w:r>
      <w:r w:rsidR="00B74116">
        <w:t>na</w:t>
      </w:r>
      <w:r>
        <w:t xml:space="preserve"> </w:t>
      </w:r>
      <w:r w:rsidR="0093279D">
        <w:t>controvérsia</w:t>
      </w:r>
      <w:r>
        <w:t xml:space="preserve"> </w:t>
      </w:r>
      <w:r w:rsidR="00B74116">
        <w:t xml:space="preserve">acordem </w:t>
      </w:r>
      <w:r>
        <w:t xml:space="preserve">de </w:t>
      </w:r>
      <w:r w:rsidR="00B74116">
        <w:t>maneira distinta</w:t>
      </w:r>
      <w:r>
        <w:t xml:space="preserve">, o idioma </w:t>
      </w:r>
      <w:r w:rsidR="00B74116">
        <w:t>dos procedimentos</w:t>
      </w:r>
      <w:r>
        <w:t xml:space="preserve"> será o inglês.</w:t>
      </w:r>
    </w:p>
    <w:p w14:paraId="6EA5E0F1" w14:textId="07F22787" w:rsidR="00A81E1B" w:rsidRPr="004C073A" w:rsidRDefault="00A81E1B" w:rsidP="004C073A">
      <w:pPr>
        <w:pStyle w:val="FTAarticlenumber"/>
        <w:rPr>
          <w:rFonts w:cs="Times New Roman"/>
          <w:szCs w:val="24"/>
        </w:rPr>
      </w:pPr>
      <w:r>
        <w:t>Artigo 3</w:t>
      </w:r>
      <w:r w:rsidR="009502DD">
        <w:t>º</w:t>
      </w:r>
    </w:p>
    <w:p w14:paraId="3C792C09" w14:textId="77777777" w:rsidR="00A81E1B" w:rsidRPr="00164DA8" w:rsidRDefault="00A81E1B" w:rsidP="00164DA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</w:rPr>
        <w:t>Comunicações Ex Parte</w:t>
      </w:r>
    </w:p>
    <w:p w14:paraId="4C5D3A05" w14:textId="2B26662A" w:rsidR="00A81E1B" w:rsidRPr="00C465C1" w:rsidRDefault="00A81E1B" w:rsidP="00A81E1B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Não haverá comunicações </w:t>
      </w:r>
      <w:r w:rsidRPr="007526CD">
        <w:rPr>
          <w:i/>
          <w:color w:val="auto"/>
        </w:rPr>
        <w:t>ex parte</w:t>
      </w:r>
      <w:r>
        <w:rPr>
          <w:color w:val="auto"/>
        </w:rPr>
        <w:t xml:space="preserve"> com o painel de arbitragem sobre assuntos sob sua consideração.</w:t>
      </w:r>
    </w:p>
    <w:p w14:paraId="0401D000" w14:textId="3DF658F2" w:rsidR="00A81E1B" w:rsidRPr="004C073A" w:rsidRDefault="00A81E1B" w:rsidP="004C073A">
      <w:pPr>
        <w:pStyle w:val="FTAarticlenumber"/>
        <w:rPr>
          <w:rFonts w:cs="Times New Roman"/>
          <w:szCs w:val="24"/>
        </w:rPr>
      </w:pPr>
      <w:r>
        <w:lastRenderedPageBreak/>
        <w:t>Artigo 4</w:t>
      </w:r>
      <w:r w:rsidR="009502DD">
        <w:t>º</w:t>
      </w:r>
    </w:p>
    <w:p w14:paraId="7B000B5F" w14:textId="77777777" w:rsidR="00A81E1B" w:rsidRPr="00164DA8" w:rsidRDefault="00A81E1B" w:rsidP="00164DA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</w:rPr>
        <w:t>Notificações</w:t>
      </w:r>
    </w:p>
    <w:p w14:paraId="4E8CF3B1" w14:textId="597C4096" w:rsidR="00A81E1B" w:rsidRPr="00EA0B16" w:rsidRDefault="00A81E1B" w:rsidP="00EA0B16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  <w:t xml:space="preserve">Todos os documentos ou informações apresentados por uma parte na </w:t>
      </w:r>
      <w:r w:rsidR="00B74116">
        <w:rPr>
          <w:rFonts w:ascii="Times New Roman" w:hAnsi="Times New Roman"/>
          <w:sz w:val="24"/>
        </w:rPr>
        <w:t xml:space="preserve">controvérsia </w:t>
      </w:r>
      <w:r>
        <w:rPr>
          <w:rFonts w:ascii="Times New Roman" w:hAnsi="Times New Roman"/>
          <w:sz w:val="24"/>
        </w:rPr>
        <w:t xml:space="preserve">ao painel de arbitragem </w:t>
      </w:r>
      <w:r w:rsidR="00F30FC3">
        <w:rPr>
          <w:rFonts w:ascii="Times New Roman" w:hAnsi="Times New Roman"/>
          <w:sz w:val="24"/>
        </w:rPr>
        <w:t>serão</w:t>
      </w:r>
      <w:r>
        <w:rPr>
          <w:rFonts w:ascii="Times New Roman" w:hAnsi="Times New Roman"/>
          <w:sz w:val="24"/>
        </w:rPr>
        <w:t xml:space="preserve"> transmitidos</w:t>
      </w:r>
      <w:r w:rsidR="00F30FC3">
        <w:rPr>
          <w:rFonts w:ascii="Times New Roman" w:hAnsi="Times New Roman"/>
          <w:sz w:val="24"/>
        </w:rPr>
        <w:t xml:space="preserve">, ao mesmo tempo, </w:t>
      </w:r>
      <w:r>
        <w:rPr>
          <w:rFonts w:ascii="Times New Roman" w:hAnsi="Times New Roman"/>
          <w:sz w:val="24"/>
        </w:rPr>
        <w:t xml:space="preserve">por essa Parte às </w:t>
      </w:r>
      <w:r w:rsidR="00F30FC3">
        <w:rPr>
          <w:rFonts w:ascii="Times New Roman" w:hAnsi="Times New Roman"/>
          <w:sz w:val="24"/>
        </w:rPr>
        <w:t xml:space="preserve">demais </w:t>
      </w:r>
      <w:r>
        <w:rPr>
          <w:rFonts w:ascii="Times New Roman" w:hAnsi="Times New Roman"/>
          <w:sz w:val="24"/>
        </w:rPr>
        <w:t xml:space="preserve">partes na </w:t>
      </w:r>
      <w:r w:rsidR="00B74116">
        <w:rPr>
          <w:rFonts w:ascii="Times New Roman" w:hAnsi="Times New Roman"/>
          <w:sz w:val="24"/>
        </w:rPr>
        <w:t>controvérsia</w:t>
      </w:r>
      <w:r>
        <w:rPr>
          <w:rFonts w:ascii="Times New Roman" w:hAnsi="Times New Roman"/>
          <w:sz w:val="24"/>
        </w:rPr>
        <w:t>.</w:t>
      </w:r>
    </w:p>
    <w:p w14:paraId="57246778" w14:textId="4B22A8AE" w:rsidR="00A81E1B" w:rsidRPr="00435653" w:rsidRDefault="00A81E1B" w:rsidP="00435653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 xml:space="preserve">Uma </w:t>
      </w:r>
      <w:r w:rsidR="00B74116">
        <w:rPr>
          <w:rFonts w:ascii="Times New Roman" w:hAnsi="Times New Roman"/>
          <w:sz w:val="24"/>
        </w:rPr>
        <w:t>petição</w:t>
      </w:r>
      <w:r>
        <w:rPr>
          <w:rFonts w:ascii="Times New Roman" w:hAnsi="Times New Roman"/>
          <w:sz w:val="24"/>
        </w:rPr>
        <w:t xml:space="preserve">, </w:t>
      </w:r>
      <w:r w:rsidR="00B74116">
        <w:rPr>
          <w:rFonts w:ascii="Times New Roman" w:hAnsi="Times New Roman"/>
          <w:sz w:val="24"/>
        </w:rPr>
        <w:t>solicitação</w:t>
      </w:r>
      <w:r>
        <w:rPr>
          <w:rFonts w:ascii="Times New Roman" w:hAnsi="Times New Roman"/>
          <w:sz w:val="24"/>
        </w:rPr>
        <w:t xml:space="preserve">, notificação ou outro documento escrito será considerado recebido quando tiver sido entregue ao destinatário por </w:t>
      </w:r>
      <w:r w:rsidR="00B74116">
        <w:rPr>
          <w:rFonts w:ascii="Times New Roman" w:hAnsi="Times New Roman"/>
          <w:sz w:val="24"/>
        </w:rPr>
        <w:t xml:space="preserve">canais </w:t>
      </w:r>
      <w:r>
        <w:rPr>
          <w:rFonts w:ascii="Times New Roman" w:hAnsi="Times New Roman"/>
          <w:sz w:val="24"/>
        </w:rPr>
        <w:t>diplomátic</w:t>
      </w:r>
      <w:r w:rsidR="00B74116">
        <w:rPr>
          <w:rFonts w:ascii="Times New Roman" w:hAnsi="Times New Roman"/>
          <w:sz w:val="24"/>
        </w:rPr>
        <w:t>os</w:t>
      </w:r>
      <w:r>
        <w:rPr>
          <w:rFonts w:ascii="Times New Roman" w:hAnsi="Times New Roman"/>
          <w:sz w:val="24"/>
        </w:rPr>
        <w:t xml:space="preserve"> no território </w:t>
      </w:r>
      <w:r w:rsidR="00B74116">
        <w:rPr>
          <w:rFonts w:ascii="Times New Roman" w:hAnsi="Times New Roman"/>
          <w:sz w:val="24"/>
        </w:rPr>
        <w:t>do destinatário</w:t>
      </w:r>
      <w:r>
        <w:rPr>
          <w:rFonts w:ascii="Times New Roman" w:hAnsi="Times New Roman"/>
          <w:sz w:val="24"/>
        </w:rPr>
        <w:t>. Uma cópia de</w:t>
      </w:r>
      <w:r w:rsidR="00B74116">
        <w:rPr>
          <w:rFonts w:ascii="Times New Roman" w:hAnsi="Times New Roman"/>
          <w:sz w:val="24"/>
        </w:rPr>
        <w:t xml:space="preserve"> tais</w:t>
      </w:r>
      <w:r>
        <w:rPr>
          <w:rFonts w:ascii="Times New Roman" w:hAnsi="Times New Roman"/>
          <w:sz w:val="24"/>
        </w:rPr>
        <w:t xml:space="preserve"> documentos ser</w:t>
      </w:r>
      <w:r w:rsidR="00ED7263">
        <w:rPr>
          <w:rFonts w:ascii="Times New Roman" w:hAnsi="Times New Roman"/>
          <w:sz w:val="24"/>
        </w:rPr>
        <w:t>á</w:t>
      </w:r>
      <w:r>
        <w:rPr>
          <w:rFonts w:ascii="Times New Roman" w:hAnsi="Times New Roman"/>
          <w:sz w:val="24"/>
        </w:rPr>
        <w:t xml:space="preserve"> fornecida em formato eletrônico.</w:t>
      </w:r>
    </w:p>
    <w:p w14:paraId="0F30CAB2" w14:textId="66C64A96" w:rsidR="00654F8F" w:rsidRPr="00A81E1B" w:rsidRDefault="00A81E1B" w:rsidP="00435653">
      <w:pPr>
        <w:spacing w:before="240"/>
        <w:jc w:val="center"/>
      </w:pPr>
      <w:r>
        <w:t>________________</w:t>
      </w:r>
      <w:bookmarkStart w:id="0" w:name="_GoBack"/>
      <w:bookmarkEnd w:id="0"/>
    </w:p>
    <w:sectPr w:rsidR="00654F8F" w:rsidRPr="00A81E1B" w:rsidSect="00FD09C0">
      <w:footerReference w:type="default" r:id="rId9"/>
      <w:pgSz w:w="11906" w:h="16838"/>
      <w:pgMar w:top="1418" w:right="1701" w:bottom="1418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5EAA3" w14:textId="77777777" w:rsidR="005044D8" w:rsidRDefault="005044D8" w:rsidP="00CD6D55">
      <w:pPr>
        <w:spacing w:after="0" w:line="240" w:lineRule="auto"/>
      </w:pPr>
      <w:r>
        <w:separator/>
      </w:r>
    </w:p>
  </w:endnote>
  <w:endnote w:type="continuationSeparator" w:id="0">
    <w:p w14:paraId="7DE6ADD5" w14:textId="77777777" w:rsidR="005044D8" w:rsidRDefault="005044D8" w:rsidP="00CD6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79611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E5A87CD" w14:textId="1FFA1B32" w:rsidR="002735D5" w:rsidRPr="002735D5" w:rsidRDefault="002735D5" w:rsidP="002735D5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735D5">
          <w:rPr>
            <w:rFonts w:ascii="Times New Roman" w:hAnsi="Times New Roman" w:cs="Times New Roman"/>
            <w:sz w:val="24"/>
          </w:rPr>
          <w:fldChar w:fldCharType="begin"/>
        </w:r>
        <w:r w:rsidRPr="002735D5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2735D5">
          <w:rPr>
            <w:rFonts w:ascii="Times New Roman" w:hAnsi="Times New Roman" w:cs="Times New Roman"/>
            <w:sz w:val="24"/>
          </w:rPr>
          <w:fldChar w:fldCharType="separate"/>
        </w:r>
        <w:r w:rsidR="00FF660C">
          <w:rPr>
            <w:rFonts w:ascii="Times New Roman" w:hAnsi="Times New Roman" w:cs="Times New Roman"/>
            <w:noProof/>
            <w:sz w:val="24"/>
          </w:rPr>
          <w:t>- 4 -</w:t>
        </w:r>
        <w:r w:rsidRPr="002735D5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CD231" w14:textId="77777777" w:rsidR="005044D8" w:rsidRDefault="005044D8" w:rsidP="00CD6D55">
      <w:pPr>
        <w:spacing w:after="0" w:line="240" w:lineRule="auto"/>
      </w:pPr>
      <w:r>
        <w:separator/>
      </w:r>
    </w:p>
  </w:footnote>
  <w:footnote w:type="continuationSeparator" w:id="0">
    <w:p w14:paraId="66F07E0F" w14:textId="77777777" w:rsidR="005044D8" w:rsidRDefault="005044D8" w:rsidP="00CD6D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1B"/>
    <w:rsid w:val="000939F1"/>
    <w:rsid w:val="000A1944"/>
    <w:rsid w:val="00164DA8"/>
    <w:rsid w:val="001750CF"/>
    <w:rsid w:val="001B6AEC"/>
    <w:rsid w:val="002376F9"/>
    <w:rsid w:val="00253F88"/>
    <w:rsid w:val="002652BD"/>
    <w:rsid w:val="002735D5"/>
    <w:rsid w:val="002D328E"/>
    <w:rsid w:val="00357152"/>
    <w:rsid w:val="00380774"/>
    <w:rsid w:val="00394456"/>
    <w:rsid w:val="003C5619"/>
    <w:rsid w:val="00403750"/>
    <w:rsid w:val="00435653"/>
    <w:rsid w:val="00437D45"/>
    <w:rsid w:val="00464923"/>
    <w:rsid w:val="004C073A"/>
    <w:rsid w:val="004E0F1D"/>
    <w:rsid w:val="005044D8"/>
    <w:rsid w:val="00571170"/>
    <w:rsid w:val="00654F8F"/>
    <w:rsid w:val="007526CD"/>
    <w:rsid w:val="00802643"/>
    <w:rsid w:val="00820672"/>
    <w:rsid w:val="008364D0"/>
    <w:rsid w:val="0093279D"/>
    <w:rsid w:val="009502DD"/>
    <w:rsid w:val="00A81E1B"/>
    <w:rsid w:val="00AB1210"/>
    <w:rsid w:val="00B25E58"/>
    <w:rsid w:val="00B74116"/>
    <w:rsid w:val="00BE7E7F"/>
    <w:rsid w:val="00CD6D55"/>
    <w:rsid w:val="00D1418A"/>
    <w:rsid w:val="00D4725E"/>
    <w:rsid w:val="00EA0B16"/>
    <w:rsid w:val="00ED7263"/>
    <w:rsid w:val="00F30FC3"/>
    <w:rsid w:val="00F6102C"/>
    <w:rsid w:val="00FD09C0"/>
    <w:rsid w:val="00FF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66B03"/>
  <w15:chartTrackingRefBased/>
  <w15:docId w15:val="{2FA0AB10-74BC-4DCC-8B2B-3957C4210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E1B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81E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81E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81E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81E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81E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81E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81E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81E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81E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81E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81E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81E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81E1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81E1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81E1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81E1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81E1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81E1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81E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81E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81E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81E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81E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81E1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81E1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81E1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81E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81E1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81E1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A81E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s-ES"/>
      <w14:ligatures w14:val="none"/>
    </w:rPr>
  </w:style>
  <w:style w:type="paragraph" w:customStyle="1" w:styleId="object">
    <w:name w:val="object"/>
    <w:basedOn w:val="Normal"/>
    <w:rsid w:val="00A81E1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i/>
      <w:sz w:val="24"/>
      <w:szCs w:val="20"/>
    </w:rPr>
  </w:style>
  <w:style w:type="paragraph" w:customStyle="1" w:styleId="SCNormal">
    <w:name w:val="SC Normal"/>
    <w:rsid w:val="00A81E1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NoteHead">
    <w:name w:val="NoteHead"/>
    <w:rsid w:val="00A81E1B"/>
    <w:pPr>
      <w:pBdr>
        <w:top w:val="nil"/>
        <w:left w:val="nil"/>
        <w:bottom w:val="nil"/>
        <w:right w:val="nil"/>
        <w:between w:val="nil"/>
        <w:bar w:val="nil"/>
      </w:pBdr>
      <w:spacing w:before="720" w:after="720" w:line="240" w:lineRule="auto"/>
      <w:jc w:val="center"/>
    </w:pPr>
    <w:rPr>
      <w:rFonts w:ascii="Times New Roman" w:eastAsia="Arial Unicode MS" w:hAnsi="Times New Roman" w:cs="Arial Unicode MS"/>
      <w:b/>
      <w:bCs/>
      <w:smallCaps/>
      <w:color w:val="000000"/>
      <w:kern w:val="0"/>
      <w:sz w:val="24"/>
      <w:szCs w:val="24"/>
      <w:u w:color="000000"/>
      <w:bdr w:val="nil"/>
      <w:lang w:eastAsia="es-PY"/>
      <w14:ligatures w14:val="none"/>
    </w:rPr>
  </w:style>
  <w:style w:type="paragraph" w:customStyle="1" w:styleId="Subject">
    <w:name w:val="Subject"/>
    <w:basedOn w:val="Normal"/>
    <w:next w:val="Ttulo1"/>
    <w:rsid w:val="00A81E1B"/>
    <w:pPr>
      <w:spacing w:after="480" w:line="240" w:lineRule="auto"/>
      <w:ind w:left="1191" w:hanging="119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CD6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D6D55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CD6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D6D55"/>
    <w:rPr>
      <w:kern w:val="0"/>
      <w:lang w:val="pt-BR"/>
      <w14:ligatures w14:val="none"/>
    </w:rPr>
  </w:style>
  <w:style w:type="paragraph" w:customStyle="1" w:styleId="Coverpageannexnumber">
    <w:name w:val="Cover page annex number"/>
    <w:basedOn w:val="Normal"/>
    <w:link w:val="CoverpageannexnumberChar"/>
    <w:qFormat/>
    <w:rsid w:val="002652BD"/>
    <w:pPr>
      <w:keepNext/>
      <w:keepLines/>
      <w:spacing w:before="1920" w:after="0" w:line="480" w:lineRule="auto"/>
      <w:jc w:val="center"/>
      <w:outlineLvl w:val="0"/>
    </w:pPr>
    <w:rPr>
      <w:rFonts w:ascii="Times New Roman Bold" w:eastAsia="Times New Roman" w:hAnsi="Times New Roman Bold" w:cstheme="majorBidi"/>
      <w:b/>
      <w:caps/>
      <w:sz w:val="32"/>
      <w:szCs w:val="26"/>
      <w:lang w:eastAsia="es-ES"/>
    </w:rPr>
  </w:style>
  <w:style w:type="character" w:customStyle="1" w:styleId="CoverpageannexnumberChar">
    <w:name w:val="Cover page annex number Char"/>
    <w:basedOn w:val="Fontepargpadro"/>
    <w:link w:val="Coverpageannexnumber"/>
    <w:rsid w:val="002652BD"/>
    <w:rPr>
      <w:rFonts w:ascii="Times New Roman Bold" w:eastAsia="Times New Roman" w:hAnsi="Times New Roman Bold" w:cstheme="majorBidi"/>
      <w:b/>
      <w:caps/>
      <w:kern w:val="0"/>
      <w:sz w:val="32"/>
      <w:szCs w:val="26"/>
      <w:lang w:val="pt-BR" w:eastAsia="es-ES"/>
      <w14:ligatures w14:val="none"/>
    </w:rPr>
  </w:style>
  <w:style w:type="paragraph" w:customStyle="1" w:styleId="Coverpageannexreftitle">
    <w:name w:val="Cover page annex ref + title"/>
    <w:basedOn w:val="Normal"/>
    <w:link w:val="CoverpageannexreftitleChar"/>
    <w:qFormat/>
    <w:rsid w:val="00F6102C"/>
    <w:pPr>
      <w:keepNext/>
      <w:keepLines/>
      <w:spacing w:after="0" w:line="480" w:lineRule="auto"/>
      <w:jc w:val="center"/>
      <w:outlineLvl w:val="0"/>
    </w:pPr>
    <w:rPr>
      <w:rFonts w:ascii="Times New Roman" w:eastAsia="Times New Roman" w:hAnsi="Times New Roman" w:cstheme="majorBidi"/>
      <w:caps/>
      <w:sz w:val="28"/>
      <w:szCs w:val="26"/>
      <w:lang w:eastAsia="es-ES"/>
    </w:rPr>
  </w:style>
  <w:style w:type="character" w:customStyle="1" w:styleId="CoverpageannexreftitleChar">
    <w:name w:val="Cover page annex ref + title Char"/>
    <w:basedOn w:val="Fontepargpadro"/>
    <w:link w:val="Coverpageannexreftitle"/>
    <w:rsid w:val="00F6102C"/>
    <w:rPr>
      <w:rFonts w:ascii="Times New Roman" w:eastAsia="Times New Roman" w:hAnsi="Times New Roman" w:cstheme="majorBidi"/>
      <w:caps/>
      <w:kern w:val="0"/>
      <w:sz w:val="28"/>
      <w:szCs w:val="26"/>
      <w:lang w:val="pt-BR" w:eastAsia="es-ES"/>
      <w14:ligatures w14:val="none"/>
    </w:rPr>
  </w:style>
  <w:style w:type="paragraph" w:customStyle="1" w:styleId="FTAchaptertitle">
    <w:name w:val="FTA chapter title"/>
    <w:basedOn w:val="Ttulo1"/>
    <w:link w:val="FTAchaptertitleChar"/>
    <w:qFormat/>
    <w:rsid w:val="00571170"/>
    <w:pPr>
      <w:spacing w:before="0" w:after="0" w:line="480" w:lineRule="auto"/>
      <w:jc w:val="center"/>
    </w:pPr>
    <w:rPr>
      <w:rFonts w:ascii="Times New Roman" w:eastAsia="Times New Roman" w:hAnsi="Times New Roman"/>
      <w:b/>
      <w:caps/>
      <w:color w:val="auto"/>
      <w:sz w:val="24"/>
      <w:szCs w:val="26"/>
      <w:lang w:eastAsia="es-ES"/>
    </w:rPr>
  </w:style>
  <w:style w:type="character" w:customStyle="1" w:styleId="FTAchaptertitleChar">
    <w:name w:val="FTA chapter title Char"/>
    <w:basedOn w:val="Fontepargpadro"/>
    <w:link w:val="FTAchaptertitle"/>
    <w:rsid w:val="00571170"/>
    <w:rPr>
      <w:rFonts w:ascii="Times New Roman" w:eastAsia="Times New Roman" w:hAnsi="Times New Roman" w:cstheme="majorBidi"/>
      <w:b/>
      <w:caps/>
      <w:kern w:val="0"/>
      <w:sz w:val="24"/>
      <w:szCs w:val="26"/>
      <w:lang w:val="pt-BR" w:eastAsia="es-ES"/>
      <w14:ligatures w14:val="none"/>
    </w:rPr>
  </w:style>
  <w:style w:type="paragraph" w:customStyle="1" w:styleId="FTAarticlenumber">
    <w:name w:val="FTA article number"/>
    <w:basedOn w:val="Ttulo2"/>
    <w:link w:val="FTAarticlenumberChar"/>
    <w:qFormat/>
    <w:rsid w:val="004C073A"/>
    <w:pPr>
      <w:spacing w:before="480" w:after="0" w:line="480" w:lineRule="auto"/>
      <w:jc w:val="center"/>
    </w:pPr>
    <w:rPr>
      <w:rFonts w:ascii="Times New Roman" w:eastAsia="Times New Roman" w:hAnsi="Times New Roman"/>
      <w:smallCaps/>
      <w:color w:val="auto"/>
      <w:sz w:val="24"/>
      <w:szCs w:val="26"/>
      <w:lang w:eastAsia="es-ES"/>
    </w:rPr>
  </w:style>
  <w:style w:type="character" w:customStyle="1" w:styleId="FTAarticlenumberChar">
    <w:name w:val="FTA article number Char"/>
    <w:basedOn w:val="Fontepargpadro"/>
    <w:link w:val="FTAarticlenumber"/>
    <w:rsid w:val="004C073A"/>
    <w:rPr>
      <w:rFonts w:ascii="Times New Roman" w:eastAsia="Times New Roman" w:hAnsi="Times New Roman" w:cstheme="majorBidi"/>
      <w:smallCaps/>
      <w:kern w:val="0"/>
      <w:sz w:val="24"/>
      <w:szCs w:val="26"/>
      <w:lang w:eastAsia="es-ES"/>
      <w14:ligatures w14:val="none"/>
    </w:rPr>
  </w:style>
  <w:style w:type="paragraph" w:styleId="Reviso">
    <w:name w:val="Revision"/>
    <w:hidden/>
    <w:uiPriority w:val="99"/>
    <w:semiHidden/>
    <w:rsid w:val="004E0F1D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4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4923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A74F89-8D15-44C9-8BE4-F40120CBDAE1}">
  <ds:schemaRefs>
    <ds:schemaRef ds:uri="http://schemas.microsoft.com/office/infopath/2007/PartnerControls"/>
    <ds:schemaRef ds:uri="c3595255-03e9-4f2b-b62f-7eedf31d862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236eead-057f-4456-b045-1e6d9ca08cb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9DED9C-EBCB-4138-9D70-A75460EE03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67DC8D-2637-4B8B-AC3F-67C82B79E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368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5</cp:revision>
  <dcterms:created xsi:type="dcterms:W3CDTF">2026-03-30T19:54:00Z</dcterms:created>
  <dcterms:modified xsi:type="dcterms:W3CDTF">2026-04-09T13:53:00Z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